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68"/>
        <w:gridCol w:w="1348"/>
        <w:gridCol w:w="3630"/>
        <w:gridCol w:w="1629"/>
      </w:tblGrid>
      <w:tr w:rsidR="00AD53B4" w:rsidRPr="003578F0" w14:paraId="05EC2BB9" w14:textId="77777777" w:rsidTr="00B12D4B">
        <w:tc>
          <w:tcPr>
            <w:tcW w:w="2568" w:type="dxa"/>
          </w:tcPr>
          <w:p w14:paraId="2BA00771" w14:textId="796FF65E" w:rsidR="00F37220" w:rsidRPr="003578F0" w:rsidRDefault="00A11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F0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348" w:type="dxa"/>
          </w:tcPr>
          <w:p w14:paraId="354A46C7" w14:textId="1D950E56" w:rsidR="00F37220" w:rsidRPr="003578F0" w:rsidRDefault="003578F0" w:rsidP="00AD5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F0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3630" w:type="dxa"/>
          </w:tcPr>
          <w:p w14:paraId="7D8A1A21" w14:textId="16A5EEDC" w:rsidR="00F37220" w:rsidRPr="003578F0" w:rsidRDefault="00F37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F0">
              <w:rPr>
                <w:rFonts w:ascii="Arial" w:hAnsi="Arial" w:cs="Arial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1629" w:type="dxa"/>
          </w:tcPr>
          <w:p w14:paraId="36195C06" w14:textId="48B4BF66" w:rsidR="00F37220" w:rsidRPr="003578F0" w:rsidRDefault="00A114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8F0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B12D4B" w:rsidRPr="003578F0" w14:paraId="0593C932" w14:textId="77777777" w:rsidTr="00B12D4B">
        <w:tc>
          <w:tcPr>
            <w:tcW w:w="2568" w:type="dxa"/>
          </w:tcPr>
          <w:p w14:paraId="3D63536F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Share of new guests</w:t>
            </w:r>
          </w:p>
        </w:tc>
        <w:tc>
          <w:tcPr>
            <w:tcW w:w="1348" w:type="dxa"/>
          </w:tcPr>
          <w:p w14:paraId="2684A257" w14:textId="77777777" w:rsidR="00B12D4B" w:rsidRPr="003578F0" w:rsidRDefault="00B12D4B" w:rsidP="003D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14:paraId="4954B55A" w14:textId="77777777" w:rsidR="00B12D4B" w:rsidRPr="003578F0" w:rsidRDefault="00B12D4B" w:rsidP="003D5F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Attracting new guests as a tourism goal. The more mature a market, the lower the potential for new customer acquisition</w:t>
            </w:r>
          </w:p>
        </w:tc>
        <w:tc>
          <w:tcPr>
            <w:tcW w:w="1629" w:type="dxa"/>
          </w:tcPr>
          <w:p w14:paraId="51BE1E0D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TMS</w:t>
            </w:r>
          </w:p>
        </w:tc>
      </w:tr>
      <w:tr w:rsidR="00B12D4B" w:rsidRPr="003578F0" w14:paraId="69560B88" w14:textId="77777777" w:rsidTr="003D5FA1">
        <w:tc>
          <w:tcPr>
            <w:tcW w:w="2568" w:type="dxa"/>
          </w:tcPr>
          <w:p w14:paraId="6F9F26F4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 xml:space="preserve">Revenue </w:t>
            </w:r>
          </w:p>
        </w:tc>
        <w:tc>
          <w:tcPr>
            <w:tcW w:w="1348" w:type="dxa"/>
          </w:tcPr>
          <w:p w14:paraId="47A641FF" w14:textId="77777777" w:rsidR="00B12D4B" w:rsidRPr="003578F0" w:rsidRDefault="00B12D4B" w:rsidP="003D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503EA815" w14:textId="77777777" w:rsidR="00B12D4B" w:rsidRPr="003578F0" w:rsidRDefault="00B12D4B" w:rsidP="003D5F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Total bed nights multiplied by the corresponding daily expenditure per market</w:t>
            </w:r>
          </w:p>
        </w:tc>
        <w:tc>
          <w:tcPr>
            <w:tcW w:w="1629" w:type="dxa"/>
          </w:tcPr>
          <w:p w14:paraId="0EC2FC4F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Calculation</w:t>
            </w:r>
          </w:p>
        </w:tc>
      </w:tr>
      <w:tr w:rsidR="00B12D4B" w:rsidRPr="003578F0" w14:paraId="65FA83EB" w14:textId="77777777" w:rsidTr="003D5FA1">
        <w:tc>
          <w:tcPr>
            <w:tcW w:w="2568" w:type="dxa"/>
          </w:tcPr>
          <w:p w14:paraId="031E2CB6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Length of stay</w:t>
            </w:r>
          </w:p>
        </w:tc>
        <w:tc>
          <w:tcPr>
            <w:tcW w:w="1348" w:type="dxa"/>
          </w:tcPr>
          <w:p w14:paraId="37A5F718" w14:textId="77777777" w:rsidR="00B12D4B" w:rsidRPr="003578F0" w:rsidRDefault="00B12D4B" w:rsidP="003D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7505174E" w14:textId="77777777" w:rsidR="00B12D4B" w:rsidRPr="003578F0" w:rsidRDefault="00B12D4B" w:rsidP="003D5F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Longer length of stay as a tourism goal</w:t>
            </w:r>
          </w:p>
        </w:tc>
        <w:tc>
          <w:tcPr>
            <w:tcW w:w="1629" w:type="dxa"/>
          </w:tcPr>
          <w:p w14:paraId="5F5BF608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BfS</w:t>
            </w:r>
            <w:proofErr w:type="spellEnd"/>
          </w:p>
        </w:tc>
      </w:tr>
      <w:tr w:rsidR="00B12D4B" w:rsidRPr="003578F0" w14:paraId="4EBDC0EC" w14:textId="77777777" w:rsidTr="003D5FA1">
        <w:tc>
          <w:tcPr>
            <w:tcW w:w="2568" w:type="dxa"/>
          </w:tcPr>
          <w:p w14:paraId="4C79D8F2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Revenue accommodation</w:t>
            </w:r>
          </w:p>
        </w:tc>
        <w:tc>
          <w:tcPr>
            <w:tcW w:w="1348" w:type="dxa"/>
          </w:tcPr>
          <w:p w14:paraId="798495FA" w14:textId="77777777" w:rsidR="00B12D4B" w:rsidRPr="003578F0" w:rsidRDefault="00B12D4B" w:rsidP="003D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14:paraId="6E7A7E65" w14:textId="77777777" w:rsidR="00B12D4B" w:rsidRPr="003578F0" w:rsidRDefault="00B12D4B" w:rsidP="003D5F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 xml:space="preserve">Share of hotel categories per market </w:t>
            </w:r>
          </w:p>
        </w:tc>
        <w:tc>
          <w:tcPr>
            <w:tcW w:w="1629" w:type="dxa"/>
          </w:tcPr>
          <w:p w14:paraId="6C4FDC27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BfS</w:t>
            </w:r>
            <w:proofErr w:type="spellEnd"/>
          </w:p>
        </w:tc>
      </w:tr>
      <w:tr w:rsidR="00B12D4B" w:rsidRPr="003578F0" w14:paraId="522F3AE2" w14:textId="77777777" w:rsidTr="003D5FA1">
        <w:tc>
          <w:tcPr>
            <w:tcW w:w="2568" w:type="dxa"/>
          </w:tcPr>
          <w:p w14:paraId="6FEF2152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Seasonal balance</w:t>
            </w:r>
          </w:p>
        </w:tc>
        <w:tc>
          <w:tcPr>
            <w:tcW w:w="1348" w:type="dxa"/>
          </w:tcPr>
          <w:p w14:paraId="43DE47E4" w14:textId="77777777" w:rsidR="00B12D4B" w:rsidRPr="003578F0" w:rsidRDefault="00B12D4B" w:rsidP="003D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4178CE78" w14:textId="77777777" w:rsidR="00B12D4B" w:rsidRPr="003578F0" w:rsidRDefault="00B12D4B" w:rsidP="003D5F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A market with a regular distribution throughout the year is economically more interesting than a market with peaks during the peak season.</w:t>
            </w:r>
          </w:p>
        </w:tc>
        <w:tc>
          <w:tcPr>
            <w:tcW w:w="1629" w:type="dxa"/>
          </w:tcPr>
          <w:p w14:paraId="5295A6DD" w14:textId="77777777" w:rsidR="00B12D4B" w:rsidRPr="003578F0" w:rsidRDefault="00B12D4B" w:rsidP="003D5FA1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Market Research/</w:t>
            </w: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BfS</w:t>
            </w:r>
            <w:proofErr w:type="spellEnd"/>
          </w:p>
        </w:tc>
      </w:tr>
      <w:tr w:rsidR="00AD53B4" w:rsidRPr="003578F0" w14:paraId="58215615" w14:textId="77777777" w:rsidTr="00B12D4B">
        <w:tc>
          <w:tcPr>
            <w:tcW w:w="2568" w:type="dxa"/>
          </w:tcPr>
          <w:p w14:paraId="50560E01" w14:textId="3E9EAFCF" w:rsidR="00F37220" w:rsidRPr="003578F0" w:rsidRDefault="00A114B3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Operating/marketing costs</w:t>
            </w:r>
          </w:p>
        </w:tc>
        <w:tc>
          <w:tcPr>
            <w:tcW w:w="1348" w:type="dxa"/>
          </w:tcPr>
          <w:p w14:paraId="1064263D" w14:textId="72D8B710" w:rsidR="00F37220" w:rsidRPr="003578F0" w:rsidRDefault="00F37220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14:paraId="6D1BBEE2" w14:textId="6C547287" w:rsidR="00F37220" w:rsidRPr="003578F0" w:rsidRDefault="00A114B3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Effective operating costs (salaries, rents, utilities, etc.) and marketing costs</w:t>
            </w:r>
          </w:p>
        </w:tc>
        <w:tc>
          <w:tcPr>
            <w:tcW w:w="1629" w:type="dxa"/>
          </w:tcPr>
          <w:p w14:paraId="5C76E44D" w14:textId="052DB4E7" w:rsidR="00F37220" w:rsidRPr="003578F0" w:rsidRDefault="00F37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FiBu</w:t>
            </w:r>
            <w:proofErr w:type="spellEnd"/>
            <w:r w:rsidRPr="003578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B4" w:rsidRPr="003578F0" w14:paraId="59DAF6D8" w14:textId="77777777" w:rsidTr="00B12D4B">
        <w:tc>
          <w:tcPr>
            <w:tcW w:w="2568" w:type="dxa"/>
          </w:tcPr>
          <w:p w14:paraId="11F043FD" w14:textId="6475285F" w:rsidR="00F37220" w:rsidRPr="003578F0" w:rsidRDefault="00A114B3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Partner income</w:t>
            </w:r>
          </w:p>
        </w:tc>
        <w:tc>
          <w:tcPr>
            <w:tcW w:w="1348" w:type="dxa"/>
          </w:tcPr>
          <w:p w14:paraId="496D0B04" w14:textId="16E44E26" w:rsidR="00F37220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14:paraId="774C6494" w14:textId="4FF44755" w:rsidR="00F37220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Effective income from market key partners for joint marketing activities</w:t>
            </w:r>
          </w:p>
        </w:tc>
        <w:tc>
          <w:tcPr>
            <w:tcW w:w="1629" w:type="dxa"/>
          </w:tcPr>
          <w:p w14:paraId="48BB7096" w14:textId="1D29C914" w:rsidR="00F37220" w:rsidRPr="003578F0" w:rsidRDefault="00F37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FiBu</w:t>
            </w:r>
            <w:proofErr w:type="spellEnd"/>
            <w:r w:rsidRPr="003578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B4" w:rsidRPr="003578F0" w14:paraId="032C589E" w14:textId="77777777" w:rsidTr="00B12D4B">
        <w:tc>
          <w:tcPr>
            <w:tcW w:w="2568" w:type="dxa"/>
          </w:tcPr>
          <w:p w14:paraId="403C99D4" w14:textId="04B334D0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Hotel and vacation rental overnight stays</w:t>
            </w:r>
          </w:p>
        </w:tc>
        <w:tc>
          <w:tcPr>
            <w:tcW w:w="1348" w:type="dxa"/>
          </w:tcPr>
          <w:p w14:paraId="6FE6404A" w14:textId="4F96C386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6F3D54C3" w14:textId="6894BC3B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Total overnight stays in the hotel and vacation rental industry</w:t>
            </w:r>
          </w:p>
        </w:tc>
        <w:tc>
          <w:tcPr>
            <w:tcW w:w="1629" w:type="dxa"/>
          </w:tcPr>
          <w:p w14:paraId="1EE99CAD" w14:textId="5DA20CD1" w:rsidR="0074055D" w:rsidRPr="003578F0" w:rsidRDefault="0074055D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Aggregat</w:t>
            </w:r>
            <w:r w:rsidR="005A3A09" w:rsidRPr="003578F0">
              <w:rPr>
                <w:rFonts w:ascii="Arial" w:hAnsi="Arial" w:cs="Arial"/>
                <w:sz w:val="20"/>
                <w:szCs w:val="20"/>
              </w:rPr>
              <w:t>e/table</w:t>
            </w:r>
          </w:p>
        </w:tc>
      </w:tr>
      <w:tr w:rsidR="00AD53B4" w:rsidRPr="003578F0" w14:paraId="68C96B15" w14:textId="77777777" w:rsidTr="00B12D4B">
        <w:tc>
          <w:tcPr>
            <w:tcW w:w="2568" w:type="dxa"/>
          </w:tcPr>
          <w:p w14:paraId="5750489D" w14:textId="2DDE32D3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Daily expenditure</w:t>
            </w:r>
            <w:r w:rsidR="0074055D" w:rsidRPr="003578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14:paraId="3DFE971D" w14:textId="65D7BC9A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6AF8097A" w14:textId="03069170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Daily expenditure as calculated by the impact study</w:t>
            </w:r>
          </w:p>
        </w:tc>
        <w:tc>
          <w:tcPr>
            <w:tcW w:w="1629" w:type="dxa"/>
          </w:tcPr>
          <w:p w14:paraId="48907446" w14:textId="3F11DD86" w:rsidR="0074055D" w:rsidRPr="003578F0" w:rsidRDefault="0074055D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 xml:space="preserve">TMS </w:t>
            </w:r>
          </w:p>
        </w:tc>
      </w:tr>
      <w:tr w:rsidR="00AD53B4" w:rsidRPr="003578F0" w14:paraId="07F11FC3" w14:textId="77777777" w:rsidTr="00B12D4B">
        <w:tc>
          <w:tcPr>
            <w:tcW w:w="2568" w:type="dxa"/>
          </w:tcPr>
          <w:p w14:paraId="48FF009F" w14:textId="1624C8E9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Leverage</w:t>
            </w:r>
            <w:r w:rsidR="0074055D" w:rsidRPr="003578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14:paraId="79C7ADAC" w14:textId="4D919A4F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7C5E9E7C" w14:textId="00124AEC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Revenue divided by operating/marketing costs, considering the market-specific impact</w:t>
            </w:r>
          </w:p>
        </w:tc>
        <w:tc>
          <w:tcPr>
            <w:tcW w:w="1629" w:type="dxa"/>
          </w:tcPr>
          <w:p w14:paraId="54F2F6C1" w14:textId="54FB8747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Calculation</w:t>
            </w:r>
          </w:p>
        </w:tc>
      </w:tr>
      <w:tr w:rsidR="00AD53B4" w:rsidRPr="003578F0" w14:paraId="5B7ACB22" w14:textId="77777777" w:rsidTr="00B12D4B">
        <w:tc>
          <w:tcPr>
            <w:tcW w:w="2568" w:type="dxa"/>
          </w:tcPr>
          <w:p w14:paraId="485C208E" w14:textId="0DAFD767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5-year growth past</w:t>
            </w:r>
          </w:p>
        </w:tc>
        <w:tc>
          <w:tcPr>
            <w:tcW w:w="1348" w:type="dxa"/>
          </w:tcPr>
          <w:p w14:paraId="1159C194" w14:textId="65D9B711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14:paraId="3B640403" w14:textId="0950B7DF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Cumulative bed night growth in absolute figures</w:t>
            </w:r>
          </w:p>
        </w:tc>
        <w:tc>
          <w:tcPr>
            <w:tcW w:w="1629" w:type="dxa"/>
          </w:tcPr>
          <w:p w14:paraId="06FAB83E" w14:textId="17F47BA4" w:rsidR="0074055D" w:rsidRPr="003578F0" w:rsidRDefault="0074055D" w:rsidP="007405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BfS</w:t>
            </w:r>
            <w:proofErr w:type="spellEnd"/>
          </w:p>
        </w:tc>
      </w:tr>
      <w:tr w:rsidR="00AD53B4" w:rsidRPr="003578F0" w14:paraId="35502D92" w14:textId="77777777" w:rsidTr="00B12D4B">
        <w:tc>
          <w:tcPr>
            <w:tcW w:w="2568" w:type="dxa"/>
          </w:tcPr>
          <w:p w14:paraId="10CFC26D" w14:textId="6AAC2FEE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5-year growth future</w:t>
            </w:r>
          </w:p>
        </w:tc>
        <w:tc>
          <w:tcPr>
            <w:tcW w:w="1348" w:type="dxa"/>
          </w:tcPr>
          <w:p w14:paraId="0D6298BB" w14:textId="6C50F65E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1A89FC34" w14:textId="4E596301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Forecasted growth in absolute figures, cumulative</w:t>
            </w:r>
          </w:p>
        </w:tc>
        <w:tc>
          <w:tcPr>
            <w:tcW w:w="1629" w:type="dxa"/>
          </w:tcPr>
          <w:p w14:paraId="3A9D0832" w14:textId="094907A2" w:rsidR="0074055D" w:rsidRPr="003578F0" w:rsidRDefault="00657AB2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 xml:space="preserve">KOF, </w:t>
            </w:r>
            <w:r w:rsidR="0074055D" w:rsidRPr="003578F0">
              <w:rPr>
                <w:rFonts w:ascii="Arial" w:hAnsi="Arial" w:cs="Arial"/>
                <w:sz w:val="20"/>
                <w:szCs w:val="20"/>
              </w:rPr>
              <w:t>Oxford Economics</w:t>
            </w:r>
          </w:p>
        </w:tc>
      </w:tr>
      <w:tr w:rsidR="00AD53B4" w:rsidRPr="003578F0" w14:paraId="5711A6F2" w14:textId="77777777" w:rsidTr="00B12D4B">
        <w:tc>
          <w:tcPr>
            <w:tcW w:w="2568" w:type="dxa"/>
          </w:tcPr>
          <w:p w14:paraId="5FF117D9" w14:textId="5BB83E37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Level of overnight stays in reporting year compared to best year</w:t>
            </w:r>
          </w:p>
        </w:tc>
        <w:tc>
          <w:tcPr>
            <w:tcW w:w="1348" w:type="dxa"/>
          </w:tcPr>
          <w:p w14:paraId="3F2CC98E" w14:textId="79086344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343D31BD" w14:textId="40AF7B87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Level compared to best year to date in overnight stays, best year indexed to 100</w:t>
            </w:r>
          </w:p>
        </w:tc>
        <w:tc>
          <w:tcPr>
            <w:tcW w:w="1629" w:type="dxa"/>
          </w:tcPr>
          <w:p w14:paraId="2AAA01BE" w14:textId="146C2023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Calculation</w:t>
            </w:r>
          </w:p>
        </w:tc>
      </w:tr>
      <w:tr w:rsidR="00AD53B4" w:rsidRPr="003578F0" w14:paraId="10C57429" w14:textId="77777777" w:rsidTr="00B12D4B">
        <w:tc>
          <w:tcPr>
            <w:tcW w:w="2568" w:type="dxa"/>
          </w:tcPr>
          <w:p w14:paraId="4E9C7272" w14:textId="4E299F17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Change in outbound travel expenditure</w:t>
            </w:r>
          </w:p>
        </w:tc>
        <w:tc>
          <w:tcPr>
            <w:tcW w:w="1348" w:type="dxa"/>
          </w:tcPr>
          <w:p w14:paraId="62DF6BD5" w14:textId="47840217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14:paraId="3038C437" w14:textId="73DDD450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Outbound travel expenditure in US$ billion for the next 5 years</w:t>
            </w:r>
          </w:p>
        </w:tc>
        <w:tc>
          <w:tcPr>
            <w:tcW w:w="1629" w:type="dxa"/>
          </w:tcPr>
          <w:p w14:paraId="0CCC32CC" w14:textId="1CAE9847" w:rsidR="0074055D" w:rsidRPr="003578F0" w:rsidRDefault="0074055D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Oxford Economics</w:t>
            </w:r>
          </w:p>
        </w:tc>
      </w:tr>
      <w:tr w:rsidR="00AD53B4" w:rsidRPr="003578F0" w14:paraId="13DAD477" w14:textId="77777777" w:rsidTr="00B12D4B">
        <w:tc>
          <w:tcPr>
            <w:tcW w:w="2568" w:type="dxa"/>
          </w:tcPr>
          <w:p w14:paraId="0205F747" w14:textId="674DAECF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Current economic situation</w:t>
            </w:r>
          </w:p>
        </w:tc>
        <w:tc>
          <w:tcPr>
            <w:tcW w:w="1348" w:type="dxa"/>
          </w:tcPr>
          <w:p w14:paraId="39EC22FA" w14:textId="57E62FDC" w:rsidR="0074055D" w:rsidRPr="003578F0" w:rsidRDefault="00624806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3306B5E7" w14:textId="7F42AE6F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Economic situation, consumer behavior, consumer sentiment, unemployment</w:t>
            </w:r>
          </w:p>
        </w:tc>
        <w:tc>
          <w:tcPr>
            <w:tcW w:w="1629" w:type="dxa"/>
          </w:tcPr>
          <w:p w14:paraId="237D2AAC" w14:textId="36E0528C" w:rsidR="0074055D" w:rsidRPr="003578F0" w:rsidRDefault="00657AB2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OECD, Oxford Economics</w:t>
            </w:r>
          </w:p>
        </w:tc>
      </w:tr>
      <w:tr w:rsidR="00AD53B4" w:rsidRPr="003578F0" w14:paraId="12B81628" w14:textId="77777777" w:rsidTr="00B12D4B">
        <w:tc>
          <w:tcPr>
            <w:tcW w:w="2568" w:type="dxa"/>
          </w:tcPr>
          <w:p w14:paraId="4D1593C0" w14:textId="00EEEA2B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Currency (exchange rate)</w:t>
            </w:r>
          </w:p>
        </w:tc>
        <w:tc>
          <w:tcPr>
            <w:tcW w:w="1348" w:type="dxa"/>
          </w:tcPr>
          <w:p w14:paraId="4FD20145" w14:textId="771F4A0C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14:paraId="468789B6" w14:textId="4A897C71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Current exchange rate relative to Swiss Franc</w:t>
            </w:r>
          </w:p>
        </w:tc>
        <w:tc>
          <w:tcPr>
            <w:tcW w:w="1629" w:type="dxa"/>
          </w:tcPr>
          <w:p w14:paraId="58BAD632" w14:textId="5E147E2E" w:rsidR="0074055D" w:rsidRPr="003578F0" w:rsidRDefault="00657AB2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UBS</w:t>
            </w:r>
          </w:p>
        </w:tc>
      </w:tr>
      <w:tr w:rsidR="00AD53B4" w:rsidRPr="003578F0" w14:paraId="286B95BF" w14:textId="77777777" w:rsidTr="00B12D4B">
        <w:tc>
          <w:tcPr>
            <w:tcW w:w="2568" w:type="dxa"/>
          </w:tcPr>
          <w:p w14:paraId="3B36B5C7" w14:textId="2A192571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Is ST substitutable</w:t>
            </w:r>
          </w:p>
        </w:tc>
        <w:tc>
          <w:tcPr>
            <w:tcW w:w="1348" w:type="dxa"/>
          </w:tcPr>
          <w:p w14:paraId="3CE86471" w14:textId="06689D68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14:paraId="3A621207" w14:textId="2A921DD4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Can ST activity in the market be taken over by Swiss tourism partners (language, distance, access, etc.)?</w:t>
            </w:r>
          </w:p>
        </w:tc>
        <w:tc>
          <w:tcPr>
            <w:tcW w:w="1629" w:type="dxa"/>
          </w:tcPr>
          <w:p w14:paraId="5F5A5B40" w14:textId="3A40264D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Estimate</w:t>
            </w:r>
            <w:r w:rsidR="00657AB2" w:rsidRPr="003578F0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</w:tr>
      <w:tr w:rsidR="00AD53B4" w:rsidRPr="003578F0" w14:paraId="7E6B271A" w14:textId="77777777" w:rsidTr="00B12D4B">
        <w:tc>
          <w:tcPr>
            <w:tcW w:w="2568" w:type="dxa"/>
          </w:tcPr>
          <w:p w14:paraId="370E70E4" w14:textId="60AB5AFF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Costs of communication</w:t>
            </w:r>
          </w:p>
        </w:tc>
        <w:tc>
          <w:tcPr>
            <w:tcW w:w="1348" w:type="dxa"/>
          </w:tcPr>
          <w:p w14:paraId="400DB92A" w14:textId="7D075D5D" w:rsidR="0074055D" w:rsidRPr="003578F0" w:rsidRDefault="00624806" w:rsidP="00AD53B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3578F0">
              <w:rPr>
                <w:rFonts w:ascii="Arial" w:hAnsi="Arial" w:cs="Arial"/>
                <w:strike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14:paraId="69854E08" w14:textId="7F3C9D57" w:rsidR="0074055D" w:rsidRPr="003578F0" w:rsidRDefault="005A3A09" w:rsidP="00AD53B4">
            <w:pPr>
              <w:pStyle w:val="NormalWeb"/>
              <w:rPr>
                <w:rFonts w:ascii="Arial" w:hAnsi="Arial" w:cs="Arial"/>
                <w:strike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 xml:space="preserve">Costs of adaptation of central advertising media incl. </w:t>
            </w:r>
            <w:proofErr w:type="spellStart"/>
            <w:r w:rsidRPr="003578F0">
              <w:rPr>
                <w:rFonts w:ascii="Arial" w:hAnsi="Arial" w:cs="Arial"/>
                <w:sz w:val="20"/>
                <w:szCs w:val="20"/>
              </w:rPr>
              <w:t>MyS</w:t>
            </w:r>
            <w:proofErr w:type="spellEnd"/>
            <w:r w:rsidRPr="003578F0">
              <w:rPr>
                <w:rFonts w:ascii="Arial" w:hAnsi="Arial" w:cs="Arial"/>
                <w:sz w:val="20"/>
                <w:szCs w:val="20"/>
              </w:rPr>
              <w:t xml:space="preserve"> (language etc.)</w:t>
            </w:r>
          </w:p>
        </w:tc>
        <w:tc>
          <w:tcPr>
            <w:tcW w:w="1629" w:type="dxa"/>
          </w:tcPr>
          <w:p w14:paraId="3A0F7793" w14:textId="2D7566E0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Estimate ST</w:t>
            </w:r>
          </w:p>
        </w:tc>
      </w:tr>
      <w:tr w:rsidR="00AD53B4" w:rsidRPr="003578F0" w14:paraId="72E541ED" w14:textId="77777777" w:rsidTr="00B12D4B">
        <w:tc>
          <w:tcPr>
            <w:tcW w:w="2568" w:type="dxa"/>
          </w:tcPr>
          <w:p w14:paraId="6FC81571" w14:textId="4FD2EF1A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Market access</w:t>
            </w:r>
          </w:p>
        </w:tc>
        <w:tc>
          <w:tcPr>
            <w:tcW w:w="1348" w:type="dxa"/>
          </w:tcPr>
          <w:p w14:paraId="69EB79C6" w14:textId="489239E9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14:paraId="09AB8629" w14:textId="74C76F3A" w:rsidR="0074055D" w:rsidRPr="003578F0" w:rsidRDefault="005A3A09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Direct flights, train connections, car distance, visa requirements, CO-2 emissions, etc.</w:t>
            </w:r>
          </w:p>
        </w:tc>
        <w:tc>
          <w:tcPr>
            <w:tcW w:w="1629" w:type="dxa"/>
          </w:tcPr>
          <w:p w14:paraId="14469595" w14:textId="55970CEE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Estimate ST</w:t>
            </w:r>
          </w:p>
        </w:tc>
      </w:tr>
      <w:tr w:rsidR="00AD53B4" w:rsidRPr="003578F0" w14:paraId="2CFF977D" w14:textId="77777777" w:rsidTr="00B12D4B">
        <w:tc>
          <w:tcPr>
            <w:tcW w:w="2568" w:type="dxa"/>
          </w:tcPr>
          <w:p w14:paraId="331EA397" w14:textId="201F04C6" w:rsidR="0074055D" w:rsidRPr="003578F0" w:rsidRDefault="003578F0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Price sensitivity</w:t>
            </w:r>
          </w:p>
        </w:tc>
        <w:tc>
          <w:tcPr>
            <w:tcW w:w="1348" w:type="dxa"/>
          </w:tcPr>
          <w:p w14:paraId="3976A721" w14:textId="08ABF944" w:rsidR="0074055D" w:rsidRPr="003578F0" w:rsidRDefault="0074055D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14:paraId="17F67D93" w14:textId="07D05EC7" w:rsidR="0074055D" w:rsidRPr="003578F0" w:rsidRDefault="003578F0" w:rsidP="00AD53B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How important is price for a travel decision?</w:t>
            </w:r>
          </w:p>
        </w:tc>
        <w:tc>
          <w:tcPr>
            <w:tcW w:w="1629" w:type="dxa"/>
          </w:tcPr>
          <w:p w14:paraId="663C290C" w14:textId="59FB84B2" w:rsidR="0074055D" w:rsidRPr="003578F0" w:rsidRDefault="005A3A09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Estimate ST</w:t>
            </w:r>
          </w:p>
        </w:tc>
      </w:tr>
      <w:tr w:rsidR="00AD53B4" w:rsidRPr="003578F0" w14:paraId="49E45BB5" w14:textId="77777777" w:rsidTr="00B12D4B">
        <w:tc>
          <w:tcPr>
            <w:tcW w:w="2568" w:type="dxa"/>
          </w:tcPr>
          <w:p w14:paraId="0087EC08" w14:textId="711E5E70" w:rsidR="0074055D" w:rsidRPr="003578F0" w:rsidRDefault="003578F0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Impact</w:t>
            </w:r>
          </w:p>
        </w:tc>
        <w:tc>
          <w:tcPr>
            <w:tcW w:w="1348" w:type="dxa"/>
          </w:tcPr>
          <w:p w14:paraId="79768DC6" w14:textId="6C8D46D1" w:rsidR="0074055D" w:rsidRPr="003578F0" w:rsidRDefault="003578F0" w:rsidP="00AD5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Multiplier</w:t>
            </w:r>
          </w:p>
        </w:tc>
        <w:tc>
          <w:tcPr>
            <w:tcW w:w="3630" w:type="dxa"/>
          </w:tcPr>
          <w:p w14:paraId="5429DED7" w14:textId="5DC05050" w:rsidR="0074055D" w:rsidRPr="003578F0" w:rsidRDefault="003578F0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Total impact per market</w:t>
            </w:r>
          </w:p>
        </w:tc>
        <w:tc>
          <w:tcPr>
            <w:tcW w:w="1629" w:type="dxa"/>
          </w:tcPr>
          <w:p w14:paraId="6556B180" w14:textId="0882D808" w:rsidR="0074055D" w:rsidRPr="003578F0" w:rsidRDefault="0074055D" w:rsidP="0074055D">
            <w:pPr>
              <w:rPr>
                <w:rFonts w:ascii="Arial" w:hAnsi="Arial" w:cs="Arial"/>
                <w:sz w:val="20"/>
                <w:szCs w:val="20"/>
              </w:rPr>
            </w:pPr>
            <w:r w:rsidRPr="003578F0">
              <w:rPr>
                <w:rFonts w:ascii="Arial" w:hAnsi="Arial" w:cs="Arial"/>
                <w:sz w:val="20"/>
                <w:szCs w:val="20"/>
              </w:rPr>
              <w:t>TMS</w:t>
            </w:r>
          </w:p>
        </w:tc>
      </w:tr>
    </w:tbl>
    <w:p w14:paraId="035C1E4A" w14:textId="57BA6C00" w:rsidR="000C2B3F" w:rsidRPr="003578F0" w:rsidRDefault="000C2B3F">
      <w:pPr>
        <w:rPr>
          <w:rFonts w:ascii="Arial" w:hAnsi="Arial" w:cs="Arial"/>
          <w:sz w:val="20"/>
          <w:szCs w:val="20"/>
        </w:rPr>
      </w:pPr>
    </w:p>
    <w:p w14:paraId="25CE3383" w14:textId="7349E8D8" w:rsidR="00DC080F" w:rsidRPr="003578F0" w:rsidRDefault="00DC080F">
      <w:pPr>
        <w:rPr>
          <w:rFonts w:ascii="Arial" w:hAnsi="Arial" w:cs="Arial"/>
          <w:sz w:val="20"/>
          <w:szCs w:val="20"/>
        </w:rPr>
      </w:pPr>
      <w:r w:rsidRPr="003578F0">
        <w:rPr>
          <w:rFonts w:ascii="Arial" w:hAnsi="Arial" w:cs="Arial"/>
          <w:sz w:val="20"/>
          <w:szCs w:val="20"/>
        </w:rPr>
        <w:t>Version, 30 December 2020</w:t>
      </w:r>
    </w:p>
    <w:sectPr w:rsidR="00DC080F" w:rsidRPr="003578F0" w:rsidSect="003A51B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0"/>
    <w:rsid w:val="000C2B3F"/>
    <w:rsid w:val="000F7215"/>
    <w:rsid w:val="001519BA"/>
    <w:rsid w:val="003578F0"/>
    <w:rsid w:val="003A51B8"/>
    <w:rsid w:val="003B36FB"/>
    <w:rsid w:val="003E427C"/>
    <w:rsid w:val="005A3A09"/>
    <w:rsid w:val="005D590F"/>
    <w:rsid w:val="005E094D"/>
    <w:rsid w:val="00624806"/>
    <w:rsid w:val="00657AB2"/>
    <w:rsid w:val="006F78C0"/>
    <w:rsid w:val="0074055D"/>
    <w:rsid w:val="007A6147"/>
    <w:rsid w:val="007F4619"/>
    <w:rsid w:val="00811738"/>
    <w:rsid w:val="00880EB5"/>
    <w:rsid w:val="009278E5"/>
    <w:rsid w:val="00960AFD"/>
    <w:rsid w:val="00A114B3"/>
    <w:rsid w:val="00AD53B4"/>
    <w:rsid w:val="00B12D4B"/>
    <w:rsid w:val="00B369A6"/>
    <w:rsid w:val="00B658A3"/>
    <w:rsid w:val="00B762CE"/>
    <w:rsid w:val="00B95ECB"/>
    <w:rsid w:val="00B96F2D"/>
    <w:rsid w:val="00C97A0A"/>
    <w:rsid w:val="00D66A27"/>
    <w:rsid w:val="00DC0236"/>
    <w:rsid w:val="00DC080F"/>
    <w:rsid w:val="00DC19BF"/>
    <w:rsid w:val="00DD633A"/>
    <w:rsid w:val="00E43105"/>
    <w:rsid w:val="00F22C25"/>
    <w:rsid w:val="00F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C7244"/>
  <w14:defaultImageDpi w14:val="32767"/>
  <w15:chartTrackingRefBased/>
  <w15:docId w15:val="{80E6BFBB-2538-3F4E-A78D-DAB717D9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Helvetica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72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Eberhard</dc:creator>
  <cp:keywords/>
  <dc:description/>
  <cp:lastModifiedBy>Olivia Krattinger</cp:lastModifiedBy>
  <cp:revision>2</cp:revision>
  <dcterms:created xsi:type="dcterms:W3CDTF">2021-12-27T07:26:00Z</dcterms:created>
  <dcterms:modified xsi:type="dcterms:W3CDTF">2021-12-27T07:26:00Z</dcterms:modified>
</cp:coreProperties>
</file>